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8543C0" w:rsidRPr="008543C0" w:rsidTr="008543C0">
        <w:trPr>
          <w:tblCellSpacing w:w="0" w:type="dxa"/>
        </w:trPr>
        <w:tc>
          <w:tcPr>
            <w:tcW w:w="9258" w:type="dxa"/>
            <w:shd w:val="clear" w:color="auto" w:fill="FFFFFF"/>
            <w:hideMark/>
          </w:tcPr>
          <w:p w:rsidR="008543C0" w:rsidRPr="008543C0" w:rsidRDefault="008543C0" w:rsidP="008543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tbl>
            <w:tblPr>
              <w:tblW w:w="94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8543C0" w:rsidRPr="008543C0">
              <w:trPr>
                <w:tblCellSpacing w:w="0" w:type="dxa"/>
              </w:trPr>
              <w:tc>
                <w:tcPr>
                  <w:tcW w:w="9100" w:type="dxa"/>
                  <w:shd w:val="clear" w:color="auto" w:fill="FFFFFF"/>
                  <w:hideMark/>
                </w:tcPr>
                <w:p w:rsidR="008543C0" w:rsidRPr="008543C0" w:rsidRDefault="008543C0" w:rsidP="008543C0">
                  <w:pPr>
                    <w:spacing w:line="336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543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CASSAZIONE CIVILE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0"/>
                  </w:tblGrid>
                  <w:tr w:rsidR="008543C0" w:rsidRPr="008543C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8543C0" w:rsidRPr="008543C0" w:rsidRDefault="008543C0" w:rsidP="008543C0">
                        <w:pPr>
                          <w:shd w:val="clear" w:color="auto" w:fill="0000F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33"/>
                            <w:szCs w:val="33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3"/>
                            <w:szCs w:val="33"/>
                            <w:lang w:eastAsia="it-IT"/>
                          </w:rPr>
                          <w:t>NOVITÀ</w:t>
                        </w:r>
                      </w:p>
                      <w:p w:rsidR="008543C0" w:rsidRPr="008543C0" w:rsidRDefault="008543C0" w:rsidP="008543C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B8B01"/>
                            <w:sz w:val="20"/>
                            <w:szCs w:val="20"/>
                            <w:shd w:val="clear" w:color="auto" w:fill="222222"/>
                            <w:lang w:eastAsia="it-IT"/>
                          </w:rPr>
                          <w:t>TRIBUTI</w:t>
                        </w:r>
                      </w:p>
                      <w:p w:rsidR="008543C0" w:rsidRPr="008543C0" w:rsidRDefault="008543C0" w:rsidP="00854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  <w:lang w:eastAsia="it-IT"/>
                          </w:rPr>
                          <w:t>15 GENNAIO 2020 ORE 19:14 </w:t>
                        </w:r>
                      </w:p>
                      <w:p w:rsidR="008543C0" w:rsidRPr="008543C0" w:rsidRDefault="008543C0" w:rsidP="00854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777777"/>
                            <w:sz w:val="24"/>
                            <w:szCs w:val="24"/>
                            <w:lang w:eastAsia="it-IT"/>
                          </w:rPr>
                          <w:t>Orientamento: </w:t>
                        </w:r>
                        <w:r w:rsidRPr="008543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7777"/>
                            <w:sz w:val="24"/>
                            <w:szCs w:val="24"/>
                            <w:lang w:eastAsia="it-IT"/>
                          </w:rPr>
                          <w:t>nuovo</w:t>
                        </w:r>
                      </w:p>
                      <w:p w:rsidR="008543C0" w:rsidRPr="008543C0" w:rsidRDefault="008543C0" w:rsidP="008543C0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42"/>
                            <w:szCs w:val="42"/>
                            <w:lang w:eastAsia="it-IT"/>
                          </w:rPr>
                        </w:pPr>
                        <w:bookmarkStart w:id="0" w:name="_GoBack"/>
                        <w:r w:rsidRPr="008543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42"/>
                            <w:szCs w:val="42"/>
                            <w:lang w:eastAsia="it-IT"/>
                          </w:rPr>
                          <w:t>Il verbale della Guardia di finanza non prova la frode carosello</w:t>
                        </w:r>
                      </w:p>
                      <w:bookmarkEnd w:id="0"/>
                      <w:p w:rsidR="008543C0" w:rsidRPr="008543C0" w:rsidRDefault="008543C0" w:rsidP="008543C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777777"/>
                            <w:sz w:val="29"/>
                            <w:szCs w:val="29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777777"/>
                            <w:sz w:val="29"/>
                            <w:szCs w:val="29"/>
                            <w:lang w:eastAsia="it-IT"/>
                          </w:rPr>
                          <w:t>Spetta all’ufficio dimostrare la malafede del contribuente sulla detrazione delle fatture false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9319"/>
                        </w:tblGrid>
                        <w:tr w:rsidR="008543C0" w:rsidRPr="008543C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543C0" w:rsidRPr="008543C0" w:rsidRDefault="008543C0" w:rsidP="008543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543C0" w:rsidRPr="008543C0" w:rsidRDefault="008543C0" w:rsidP="008543C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  <w:r w:rsidRPr="00854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77777"/>
                                  <w:sz w:val="23"/>
                                  <w:szCs w:val="23"/>
                                  <w:lang w:eastAsia="it-IT"/>
                                </w:rPr>
                                <w:t>DI DEBORA ALBERICI</w:t>
                              </w:r>
                            </w:p>
                          </w:tc>
                        </w:tr>
                      </w:tbl>
                      <w:p w:rsidR="008543C0" w:rsidRPr="008543C0" w:rsidRDefault="008543C0" w:rsidP="00854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it-IT"/>
                          </w:rPr>
                        </w:pPr>
                      </w:p>
                    </w:tc>
                  </w:tr>
                  <w:tr w:rsidR="008543C0" w:rsidRPr="008543C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8543C0" w:rsidRPr="008543C0" w:rsidRDefault="008543C0" w:rsidP="008543C0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hyperlink r:id="rId5" w:tgtFrame="_blank" w:history="1">
                          <w:r w:rsidRPr="008543C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Consulta massima e sentenza relative all'articolo</w:t>
                          </w:r>
                        </w:hyperlink>
                      </w:p>
                      <w:p w:rsidR="008543C0" w:rsidRPr="008543C0" w:rsidRDefault="008543C0" w:rsidP="008543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br/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Il solo verbale della Guardia di finanza non prova di certo la frode carosello. Spetta infatti al fisco dimostrare come e perché il contribuente avrebbe detratto le fatture false in malafede.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Lo ha sancito la Corte di cassazione che, con l’ordinanza n. 716 del 15 gennaio 2020, ha respinto sul punto il ricorso dell’Agenzia delle entrate.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In particolare l’ufficio aveva contestato alla società di informatica di aver usato fatture soggettivamente inesistenti con la consapevolezza che l’impresa emittente fosse una cartiera.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In sostanza le Entrate avevano fatto proprio un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pvc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redatto dalle Fiamme gialle. Senza né aggiungere né togliere nulla.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La procedura è stata bocciata prima dalla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Ctp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e poi dalla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Ctr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di Napoli. Ora il verdetto è stato confermato in sede di legittimità.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Alle obiezioni della difesa erariale gli Ermellini hanno risposto che l'Agenzia ha prospettato per un verso il valore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fidefaciente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del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pvc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senza tuttavia indicare in maniera specifica gli elementi fattuali che i verbalizzanti avrebbero individuato per dimostrare il coefficiente psicologico con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speciﬁco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riferimento alle operazioni ritenute soggettivamente inesistenti, in tal modo rendendo la censura inammissibile per carenza di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speciﬁcità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, nemmeno potendosi comprendere se i fatti stessi ai quali ha fatto riferimento la ricorrente erano stati direttamente accertati dagli organi ispettivi e fossero, conseguentemente, idonei a fare piena prova,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ﬁno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 a querela di falso.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Un secondo motivo di ricorso presentato dal fisco è stato invece accolto dal Collegio di legittimità che ha ammonito i giudici di merito nel senso che avrebbero dovuto accertare non solo se la fatture erano soggettivamente inesistenti ma anche oggettivamente.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Nelle motivazioni si legge che la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Ctr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, nel rigettare l’appello proposito dall’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ufﬁcio</w:t>
                        </w:r>
                        <w:proofErr w:type="spellEnd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, ha esclusivamente focalizzato la propria attenzione sull’esistenza o meno di operazioni soggettivamente inesistenti. Tuttavia, il giudice ha totalmente tralasciato di esaminare le censure che l’Agenzia aveva prospettato anche rispetto alle operazioni oggettivamente inesistenti e all'emissione di fatture per operazioni inesistenti da parte della società contribuente, in tal modo </w:t>
                        </w: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lastRenderedPageBreak/>
                          <w:t>omettendo di giustificare le ragioni che avevano condotto rispetto a tali contestazioni alla conferma della decisione impugnata.</w:t>
                        </w:r>
                      </w:p>
                      <w:p w:rsidR="008543C0" w:rsidRPr="008543C0" w:rsidRDefault="008543C0" w:rsidP="008543C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</w:pPr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 xml:space="preserve">Debora </w:t>
                        </w:r>
                        <w:proofErr w:type="spellStart"/>
                        <w:r w:rsidRPr="008543C0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it-IT"/>
                          </w:rPr>
                          <w:t>Alberici</w:t>
                        </w:r>
                        <w:proofErr w:type="spellEnd"/>
                      </w:p>
                    </w:tc>
                  </w:tr>
                </w:tbl>
                <w:p w:rsidR="008543C0" w:rsidRPr="008543C0" w:rsidRDefault="008543C0" w:rsidP="008543C0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8543C0" w:rsidRPr="008543C0" w:rsidRDefault="008543C0" w:rsidP="008543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BA0F44" w:rsidRDefault="00BA0F44"/>
    <w:sectPr w:rsidR="00BA0F44" w:rsidSect="0027042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C0"/>
    <w:rsid w:val="0027042E"/>
    <w:rsid w:val="008543C0"/>
    <w:rsid w:val="00B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4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54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3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43C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occhiello">
    <w:name w:val="occhiello"/>
    <w:basedOn w:val="Carpredefinitoparagrafo"/>
    <w:rsid w:val="008543C0"/>
  </w:style>
  <w:style w:type="character" w:styleId="Collegamentoipertestuale">
    <w:name w:val="Hyperlink"/>
    <w:basedOn w:val="Carpredefinitoparagrafo"/>
    <w:uiPriority w:val="99"/>
    <w:semiHidden/>
    <w:unhideWhenUsed/>
    <w:rsid w:val="008543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4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54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3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43C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occhiello">
    <w:name w:val="occhiello"/>
    <w:basedOn w:val="Carpredefinitoparagrafo"/>
    <w:rsid w:val="008543C0"/>
  </w:style>
  <w:style w:type="character" w:styleId="Collegamentoipertestuale">
    <w:name w:val="Hyperlink"/>
    <w:basedOn w:val="Carpredefinitoparagrafo"/>
    <w:uiPriority w:val="99"/>
    <w:semiHidden/>
    <w:unhideWhenUsed/>
    <w:rsid w:val="008543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91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0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6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sazione.net/Abbonamenti/index.php?pag_id=40&amp;view=1&amp;mid=160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Dominici</dc:creator>
  <cp:lastModifiedBy>Fabrizio Dominici</cp:lastModifiedBy>
  <cp:revision>1</cp:revision>
  <dcterms:created xsi:type="dcterms:W3CDTF">2020-01-15T19:07:00Z</dcterms:created>
  <dcterms:modified xsi:type="dcterms:W3CDTF">2020-01-15T19:08:00Z</dcterms:modified>
</cp:coreProperties>
</file>